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7F1" w:rsidRPr="00BA59DC" w:rsidRDefault="00D4078D" w:rsidP="00032DB0">
      <w:pPr>
        <w:pStyle w:val="StyleArial16ptGrasCentr"/>
      </w:pPr>
      <w:proofErr w:type="spellStart"/>
      <w:r>
        <w:t>T</w:t>
      </w:r>
      <w:r w:rsidR="00DC111B">
        <w:t>etracyanobutadiene</w:t>
      </w:r>
      <w:proofErr w:type="spellEnd"/>
      <w:r>
        <w:t xml:space="preserve">-based charge-transfer chromophores: </w:t>
      </w:r>
      <w:r w:rsidR="00BF31A5">
        <w:t xml:space="preserve">investigations with </w:t>
      </w:r>
      <w:r w:rsidR="002D68B4">
        <w:t>phenanthroline derivatives</w:t>
      </w:r>
    </w:p>
    <w:p w:rsidR="008F17F1" w:rsidRPr="00E3483D" w:rsidRDefault="007A12F9" w:rsidP="007A12F9">
      <w:pPr>
        <w:pStyle w:val="AuthorICCC2016"/>
        <w:rPr>
          <w:sz w:val="22"/>
        </w:rPr>
      </w:pPr>
      <w:r>
        <w:rPr>
          <w:rStyle w:val="PresentingAuthorICCC2016"/>
          <w:sz w:val="22"/>
        </w:rPr>
        <w:t>A.T. Bui</w:t>
      </w:r>
      <w:proofErr w:type="gramStart"/>
      <w:r w:rsidR="008F17F1" w:rsidRPr="00E3483D">
        <w:rPr>
          <w:sz w:val="22"/>
        </w:rPr>
        <w:t>,</w:t>
      </w:r>
      <w:r w:rsidR="008F17F1" w:rsidRPr="00E3483D">
        <w:rPr>
          <w:sz w:val="22"/>
          <w:vertAlign w:val="superscript"/>
        </w:rPr>
        <w:t>a</w:t>
      </w:r>
      <w:proofErr w:type="gramEnd"/>
      <w:r w:rsidR="008F17F1" w:rsidRPr="00E3483D">
        <w:rPr>
          <w:sz w:val="22"/>
        </w:rPr>
        <w:t xml:space="preserve"> </w:t>
      </w:r>
      <w:r>
        <w:rPr>
          <w:sz w:val="22"/>
        </w:rPr>
        <w:t xml:space="preserve">O. </w:t>
      </w:r>
      <w:proofErr w:type="spellStart"/>
      <w:r>
        <w:rPr>
          <w:sz w:val="22"/>
        </w:rPr>
        <w:t>Mongin,</w:t>
      </w:r>
      <w:r w:rsidRPr="007A12F9">
        <w:rPr>
          <w:sz w:val="22"/>
          <w:vertAlign w:val="superscript"/>
        </w:rPr>
        <w:t>b</w:t>
      </w:r>
      <w:proofErr w:type="spellEnd"/>
      <w:r>
        <w:rPr>
          <w:sz w:val="22"/>
        </w:rPr>
        <w:t xml:space="preserve"> Y. </w:t>
      </w:r>
      <w:proofErr w:type="spellStart"/>
      <w:r>
        <w:rPr>
          <w:sz w:val="22"/>
        </w:rPr>
        <w:t>Trolez</w:t>
      </w:r>
      <w:proofErr w:type="spellEnd"/>
      <w:r w:rsidRPr="007A12F9">
        <w:rPr>
          <w:sz w:val="22"/>
          <w:vertAlign w:val="superscript"/>
        </w:rPr>
        <w:t xml:space="preserve"> </w:t>
      </w:r>
      <w:r w:rsidRPr="00E3483D">
        <w:rPr>
          <w:sz w:val="22"/>
          <w:vertAlign w:val="superscript"/>
        </w:rPr>
        <w:t>a</w:t>
      </w:r>
      <w:r>
        <w:rPr>
          <w:sz w:val="22"/>
        </w:rPr>
        <w:t>*</w:t>
      </w:r>
    </w:p>
    <w:p w:rsidR="008F17F1" w:rsidRDefault="007A12F9" w:rsidP="00BA59DC">
      <w:pPr>
        <w:pStyle w:val="AddressICCC2016"/>
        <w:rPr>
          <w:sz w:val="22"/>
          <w:lang w:val="fr-FR"/>
        </w:rPr>
      </w:pPr>
      <w:proofErr w:type="gramStart"/>
      <w:r w:rsidRPr="007A12F9">
        <w:rPr>
          <w:sz w:val="22"/>
          <w:vertAlign w:val="superscript"/>
          <w:lang w:val="fr-FR"/>
        </w:rPr>
        <w:t>a</w:t>
      </w:r>
      <w:proofErr w:type="gramEnd"/>
      <w:r>
        <w:rPr>
          <w:rFonts w:cs="Arial"/>
          <w:sz w:val="22"/>
          <w:lang w:val="fr-FR"/>
        </w:rPr>
        <w:t xml:space="preserve"> É</w:t>
      </w:r>
      <w:r w:rsidRPr="007A12F9">
        <w:rPr>
          <w:sz w:val="22"/>
          <w:lang w:val="fr-FR"/>
        </w:rPr>
        <w:t>cole Nationale Supérieure de Chimie de Rennes</w:t>
      </w:r>
    </w:p>
    <w:p w:rsidR="007A12F9" w:rsidRDefault="007A12F9" w:rsidP="00BA59DC">
      <w:pPr>
        <w:pStyle w:val="AddressICCC2016"/>
        <w:rPr>
          <w:sz w:val="22"/>
          <w:lang w:val="fr-FR"/>
        </w:rPr>
      </w:pPr>
      <w:r>
        <w:rPr>
          <w:sz w:val="22"/>
          <w:lang w:val="fr-FR"/>
        </w:rPr>
        <w:t>CNRS (UMR 6226), Institut des Sciences Chimiques de Rennes</w:t>
      </w:r>
    </w:p>
    <w:p w:rsidR="007A12F9" w:rsidRDefault="007A12F9" w:rsidP="00BA59DC">
      <w:pPr>
        <w:pStyle w:val="AddressICCC2016"/>
        <w:rPr>
          <w:sz w:val="22"/>
          <w:lang w:val="fr-FR"/>
        </w:rPr>
      </w:pPr>
      <w:r>
        <w:rPr>
          <w:sz w:val="22"/>
          <w:lang w:val="fr-FR"/>
        </w:rPr>
        <w:t>11 allée de Beaulieu, CS 50837, 35708 Rennes Cedex 7 (France)</w:t>
      </w:r>
    </w:p>
    <w:p w:rsidR="007A12F9" w:rsidRDefault="007A12F9" w:rsidP="00BA59DC">
      <w:pPr>
        <w:pStyle w:val="AddressICCC2016"/>
        <w:rPr>
          <w:sz w:val="22"/>
          <w:lang w:val="fr-FR"/>
        </w:rPr>
      </w:pPr>
      <w:proofErr w:type="gramStart"/>
      <w:r w:rsidRPr="007A12F9">
        <w:rPr>
          <w:sz w:val="22"/>
          <w:vertAlign w:val="superscript"/>
          <w:lang w:val="fr-FR"/>
        </w:rPr>
        <w:t>b</w:t>
      </w:r>
      <w:proofErr w:type="gramEnd"/>
      <w:r>
        <w:rPr>
          <w:sz w:val="22"/>
          <w:lang w:val="fr-FR"/>
        </w:rPr>
        <w:t xml:space="preserve"> Institut des Sciences Chimiques de Rennes</w:t>
      </w:r>
    </w:p>
    <w:p w:rsidR="007A12F9" w:rsidRDefault="007A12F9" w:rsidP="00BA59DC">
      <w:pPr>
        <w:pStyle w:val="AddressICCC2016"/>
        <w:rPr>
          <w:sz w:val="22"/>
          <w:lang w:val="fr-FR"/>
        </w:rPr>
      </w:pPr>
      <w:r>
        <w:rPr>
          <w:sz w:val="22"/>
          <w:lang w:val="fr-FR"/>
        </w:rPr>
        <w:t>CNRS (UMR 6226), Université de Rennes 1</w:t>
      </w:r>
    </w:p>
    <w:p w:rsidR="007A12F9" w:rsidRPr="007A12F9" w:rsidRDefault="007A12F9" w:rsidP="00BA59DC">
      <w:pPr>
        <w:pStyle w:val="AddressICCC2016"/>
        <w:rPr>
          <w:sz w:val="22"/>
          <w:lang w:val="fr-FR"/>
        </w:rPr>
      </w:pPr>
      <w:r>
        <w:rPr>
          <w:sz w:val="22"/>
          <w:lang w:val="fr-FR"/>
        </w:rPr>
        <w:t>Campus de Beaulieu, 35042 Rennes Cedex (France)</w:t>
      </w:r>
    </w:p>
    <w:p w:rsidR="008F17F1" w:rsidRPr="007A12F9" w:rsidRDefault="007A12F9" w:rsidP="00BA59DC">
      <w:pPr>
        <w:pStyle w:val="CorrespondingAuthorICCC2016"/>
        <w:rPr>
          <w:sz w:val="22"/>
          <w:lang w:val="fr-FR"/>
        </w:rPr>
      </w:pPr>
      <w:r w:rsidRPr="007A12F9">
        <w:rPr>
          <w:sz w:val="22"/>
          <w:lang w:val="fr-FR"/>
        </w:rPr>
        <w:t>yann.trolez@ensc-rennes.fr</w:t>
      </w:r>
    </w:p>
    <w:p w:rsidR="003D13B7" w:rsidRDefault="00C84731" w:rsidP="00D92341">
      <w:pPr>
        <w:pStyle w:val="AbstractICCC2016"/>
        <w:jc w:val="both"/>
        <w:rPr>
          <w:sz w:val="22"/>
        </w:rPr>
      </w:pPr>
      <w:r>
        <w:rPr>
          <w:sz w:val="22"/>
        </w:rPr>
        <w:t xml:space="preserve">Electron donor-acceptor structures have received a long-standing attention owing to their utility in multiple fields of application, </w:t>
      </w:r>
      <w:r w:rsidR="007A2138">
        <w:rPr>
          <w:sz w:val="22"/>
        </w:rPr>
        <w:t>sparkling interest in non-linear optics, photovoltaics or chemical sensing</w:t>
      </w:r>
      <w:r w:rsidR="00875B37">
        <w:rPr>
          <w:sz w:val="22"/>
        </w:rPr>
        <w:t>. To</w:t>
      </w:r>
      <w:r w:rsidR="0013760A">
        <w:rPr>
          <w:sz w:val="22"/>
        </w:rPr>
        <w:t xml:space="preserve"> allow the </w:t>
      </w:r>
      <w:proofErr w:type="spellStart"/>
      <w:r w:rsidR="0013760A">
        <w:rPr>
          <w:sz w:val="22"/>
        </w:rPr>
        <w:t>tunability</w:t>
      </w:r>
      <w:proofErr w:type="spellEnd"/>
      <w:r w:rsidR="0013760A">
        <w:rPr>
          <w:sz w:val="22"/>
        </w:rPr>
        <w:t xml:space="preserve"> of their optoelect</w:t>
      </w:r>
      <w:r w:rsidR="004904D4">
        <w:rPr>
          <w:sz w:val="22"/>
        </w:rPr>
        <w:t>r</w:t>
      </w:r>
      <w:r w:rsidR="0013760A">
        <w:rPr>
          <w:sz w:val="22"/>
        </w:rPr>
        <w:t>onic properties, a versatile approach to their p</w:t>
      </w:r>
      <w:r w:rsidR="00B24988">
        <w:rPr>
          <w:sz w:val="22"/>
        </w:rPr>
        <w:t xml:space="preserve">reparation is highly desirable. In this context, </w:t>
      </w:r>
      <w:proofErr w:type="spellStart"/>
      <w:r w:rsidR="00836D72">
        <w:rPr>
          <w:sz w:val="22"/>
        </w:rPr>
        <w:t>tetracyanobutadienes</w:t>
      </w:r>
      <w:proofErr w:type="spellEnd"/>
      <w:r w:rsidR="00836D72">
        <w:rPr>
          <w:sz w:val="22"/>
        </w:rPr>
        <w:t xml:space="preserve"> (TCBDs)</w:t>
      </w:r>
      <w:r w:rsidR="004904D4">
        <w:rPr>
          <w:sz w:val="22"/>
        </w:rPr>
        <w:t xml:space="preserve"> acceptors</w:t>
      </w:r>
      <w:r w:rsidR="00875B37">
        <w:rPr>
          <w:sz w:val="22"/>
        </w:rPr>
        <w:t xml:space="preserve"> are</w:t>
      </w:r>
      <w:r w:rsidR="004904D4">
        <w:rPr>
          <w:sz w:val="22"/>
        </w:rPr>
        <w:t xml:space="preserve"> attractive motifs </w:t>
      </w:r>
      <w:r w:rsidR="00875B37">
        <w:rPr>
          <w:sz w:val="22"/>
        </w:rPr>
        <w:t xml:space="preserve">that </w:t>
      </w:r>
      <w:r w:rsidR="00916031">
        <w:rPr>
          <w:sz w:val="22"/>
        </w:rPr>
        <w:t>are conveniently installed by [2+2] cycloaddition-</w:t>
      </w:r>
      <w:proofErr w:type="spellStart"/>
      <w:r w:rsidR="00916031">
        <w:rPr>
          <w:sz w:val="22"/>
        </w:rPr>
        <w:t>retroelectrocycli</w:t>
      </w:r>
      <w:r w:rsidR="00627845">
        <w:rPr>
          <w:sz w:val="22"/>
        </w:rPr>
        <w:t>zation</w:t>
      </w:r>
      <w:proofErr w:type="spellEnd"/>
      <w:r w:rsidR="00627845">
        <w:rPr>
          <w:sz w:val="22"/>
        </w:rPr>
        <w:t xml:space="preserve"> (CA-RE) c</w:t>
      </w:r>
      <w:r w:rsidR="004904D4">
        <w:rPr>
          <w:sz w:val="22"/>
        </w:rPr>
        <w:t xml:space="preserve">lick </w:t>
      </w:r>
      <w:r w:rsidR="00627845">
        <w:rPr>
          <w:sz w:val="22"/>
        </w:rPr>
        <w:t>reaction</w:t>
      </w:r>
      <w:r w:rsidR="00A060AE">
        <w:rPr>
          <w:sz w:val="22"/>
        </w:rPr>
        <w:t>.</w:t>
      </w:r>
      <w:r w:rsidR="00627845" w:rsidRPr="00627845">
        <w:rPr>
          <w:sz w:val="22"/>
          <w:vertAlign w:val="superscript"/>
        </w:rPr>
        <w:t>1</w:t>
      </w:r>
      <w:r w:rsidR="00A060AE">
        <w:rPr>
          <w:sz w:val="22"/>
        </w:rPr>
        <w:t xml:space="preserve"> Though their chemistry has</w:t>
      </w:r>
      <w:r w:rsidR="004904D4">
        <w:rPr>
          <w:sz w:val="22"/>
        </w:rPr>
        <w:t xml:space="preserve"> been intensively explored, </w:t>
      </w:r>
      <w:r w:rsidR="00420487">
        <w:rPr>
          <w:sz w:val="22"/>
        </w:rPr>
        <w:t xml:space="preserve">including with the recent addition of </w:t>
      </w:r>
      <w:proofErr w:type="spellStart"/>
      <w:r w:rsidR="00420487">
        <w:rPr>
          <w:sz w:val="22"/>
        </w:rPr>
        <w:t>ynamide</w:t>
      </w:r>
      <w:proofErr w:type="spellEnd"/>
      <w:r w:rsidR="00420487">
        <w:rPr>
          <w:sz w:val="22"/>
        </w:rPr>
        <w:t>-based reactivity suggested by our group,</w:t>
      </w:r>
      <w:r w:rsidR="00627845" w:rsidRPr="00627845">
        <w:rPr>
          <w:sz w:val="22"/>
          <w:vertAlign w:val="superscript"/>
        </w:rPr>
        <w:t>2</w:t>
      </w:r>
      <w:r w:rsidR="00420487">
        <w:rPr>
          <w:sz w:val="22"/>
        </w:rPr>
        <w:t xml:space="preserve"> their practical use remains limited by ultrafast excited-state dynamics that</w:t>
      </w:r>
      <w:r w:rsidR="005E55BA">
        <w:rPr>
          <w:sz w:val="22"/>
        </w:rPr>
        <w:t xml:space="preserve"> eventually</w:t>
      </w:r>
      <w:r w:rsidR="00420487">
        <w:rPr>
          <w:sz w:val="22"/>
        </w:rPr>
        <w:t xml:space="preserve"> render this class of chromophores non luminescent in the vast majority of cases.</w:t>
      </w:r>
      <w:r w:rsidR="003D13B7" w:rsidRPr="003D13B7">
        <w:rPr>
          <w:sz w:val="22"/>
          <w:vertAlign w:val="superscript"/>
        </w:rPr>
        <w:t>3</w:t>
      </w:r>
      <w:r w:rsidR="00420487">
        <w:rPr>
          <w:sz w:val="22"/>
        </w:rPr>
        <w:t xml:space="preserve"> In this contribution, we propose to examine unconventional photophysical </w:t>
      </w:r>
      <w:proofErr w:type="spellStart"/>
      <w:r w:rsidR="00420487">
        <w:rPr>
          <w:sz w:val="22"/>
        </w:rPr>
        <w:t>behaviour</w:t>
      </w:r>
      <w:r w:rsidR="0029648A">
        <w:rPr>
          <w:sz w:val="22"/>
        </w:rPr>
        <w:t>s</w:t>
      </w:r>
      <w:proofErr w:type="spellEnd"/>
      <w:r w:rsidR="00420487">
        <w:rPr>
          <w:sz w:val="22"/>
        </w:rPr>
        <w:t xml:space="preserve"> of TCBDs attached to a </w:t>
      </w:r>
      <w:r w:rsidR="0029648A">
        <w:rPr>
          <w:sz w:val="22"/>
        </w:rPr>
        <w:t xml:space="preserve">chromophore, more specifically focusing on 1,10-phenanthrolines and their utilization as ligands for metal complexation. This rational study aims at shedding light to their </w:t>
      </w:r>
      <w:r w:rsidR="00A060AE">
        <w:rPr>
          <w:sz w:val="22"/>
        </w:rPr>
        <w:t xml:space="preserve">properties to help develop molecular design strategies, </w:t>
      </w:r>
      <w:r w:rsidR="00A060AE">
        <w:rPr>
          <w:sz w:val="22"/>
        </w:rPr>
        <w:t xml:space="preserve">with the </w:t>
      </w:r>
      <w:r w:rsidR="005718CF">
        <w:rPr>
          <w:sz w:val="22"/>
        </w:rPr>
        <w:t xml:space="preserve">potential </w:t>
      </w:r>
      <w:r w:rsidR="00A060AE">
        <w:rPr>
          <w:sz w:val="22"/>
        </w:rPr>
        <w:t>prospect of</w:t>
      </w:r>
      <w:r w:rsidR="0029648A">
        <w:rPr>
          <w:sz w:val="22"/>
        </w:rPr>
        <w:t xml:space="preserve"> the implementation of such materials in organic photovoltaic devices.</w:t>
      </w:r>
    </w:p>
    <w:p w:rsidR="003D13B7" w:rsidRPr="00E3483D" w:rsidRDefault="003D13B7" w:rsidP="00D92341">
      <w:pPr>
        <w:pStyle w:val="AbstractICCC2016"/>
        <w:jc w:val="both"/>
        <w:rPr>
          <w:sz w:val="22"/>
        </w:rPr>
      </w:pPr>
      <w:bookmarkStart w:id="0" w:name="_GoBack"/>
      <w:bookmarkEnd w:id="0"/>
    </w:p>
    <w:p w:rsidR="008F17F1" w:rsidRPr="00E3483D" w:rsidRDefault="006E227E" w:rsidP="00BE4D3B">
      <w:pPr>
        <w:pStyle w:val="AbstractICCC2016"/>
        <w:jc w:val="center"/>
        <w:rPr>
          <w:sz w:val="22"/>
        </w:rPr>
      </w:pPr>
      <w:r>
        <w:object w:dxaOrig="9761" w:dyaOrig="41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.6pt;height:144.6pt;mso-position-vertical:absolute" o:ole="">
            <v:imagedata r:id="rId6" o:title=""/>
          </v:shape>
          <o:OLEObject Type="Embed" ProgID="ChemDraw.Document.6.0" ShapeID="_x0000_i1025" DrawAspect="Content" ObjectID="_1616692553" r:id="rId7"/>
        </w:object>
      </w:r>
    </w:p>
    <w:p w:rsidR="006E227E" w:rsidRPr="005718CF" w:rsidRDefault="008F17F1" w:rsidP="006E227E">
      <w:pPr>
        <w:pStyle w:val="FigureICCC2016"/>
        <w:jc w:val="center"/>
        <w:rPr>
          <w:sz w:val="22"/>
        </w:rPr>
      </w:pPr>
      <w:r w:rsidRPr="00E3483D">
        <w:rPr>
          <w:sz w:val="22"/>
        </w:rPr>
        <w:t xml:space="preserve">Figure 1 </w:t>
      </w:r>
      <w:r w:rsidR="00BE4D3B">
        <w:rPr>
          <w:b w:val="0"/>
          <w:sz w:val="22"/>
        </w:rPr>
        <w:t>Synthesis of TCBDs by [2+2] CA-RE Click reaction</w:t>
      </w:r>
    </w:p>
    <w:p w:rsidR="00553840" w:rsidRDefault="005718CF" w:rsidP="003D13B7">
      <w:pPr>
        <w:pStyle w:val="ReferencesICCC2016"/>
        <w:jc w:val="both"/>
        <w:rPr>
          <w:sz w:val="18"/>
        </w:rPr>
      </w:pPr>
      <w:r>
        <w:rPr>
          <w:sz w:val="18"/>
        </w:rPr>
        <w:t xml:space="preserve">1 T. </w:t>
      </w:r>
      <w:proofErr w:type="spellStart"/>
      <w:r>
        <w:rPr>
          <w:sz w:val="18"/>
        </w:rPr>
        <w:t>Michinobu</w:t>
      </w:r>
      <w:proofErr w:type="spellEnd"/>
      <w:r>
        <w:rPr>
          <w:sz w:val="18"/>
        </w:rPr>
        <w:t xml:space="preserve">, F. </w:t>
      </w:r>
      <w:proofErr w:type="spellStart"/>
      <w:r>
        <w:rPr>
          <w:sz w:val="18"/>
        </w:rPr>
        <w:t>Diederich</w:t>
      </w:r>
      <w:proofErr w:type="spellEnd"/>
      <w:r w:rsidR="008F17F1" w:rsidRPr="00E3483D">
        <w:rPr>
          <w:sz w:val="18"/>
        </w:rPr>
        <w:t>,</w:t>
      </w:r>
      <w:r w:rsidR="008F17F1" w:rsidRPr="00E3483D">
        <w:rPr>
          <w:i/>
          <w:sz w:val="18"/>
        </w:rPr>
        <w:t xml:space="preserve"> </w:t>
      </w:r>
      <w:proofErr w:type="spellStart"/>
      <w:r w:rsidRPr="005718CF">
        <w:rPr>
          <w:i/>
          <w:sz w:val="18"/>
          <w:lang w:val="en-US"/>
        </w:rPr>
        <w:t>Angew</w:t>
      </w:r>
      <w:proofErr w:type="spellEnd"/>
      <w:r w:rsidRPr="005718CF">
        <w:rPr>
          <w:i/>
          <w:sz w:val="18"/>
          <w:lang w:val="en-US"/>
        </w:rPr>
        <w:t>. Chem. Int. Ed.</w:t>
      </w:r>
      <w:r w:rsidR="008F17F1" w:rsidRPr="00E3483D">
        <w:rPr>
          <w:sz w:val="18"/>
        </w:rPr>
        <w:t xml:space="preserve">, </w:t>
      </w:r>
      <w:r>
        <w:rPr>
          <w:rStyle w:val="ReferenceYearICCC2016"/>
          <w:sz w:val="18"/>
        </w:rPr>
        <w:t>2018</w:t>
      </w:r>
      <w:r w:rsidR="008F17F1" w:rsidRPr="00E3483D">
        <w:rPr>
          <w:sz w:val="18"/>
        </w:rPr>
        <w:t xml:space="preserve">, </w:t>
      </w:r>
      <w:r>
        <w:rPr>
          <w:rStyle w:val="Reference-Journal-volumelICCC2016"/>
          <w:sz w:val="18"/>
        </w:rPr>
        <w:t>57</w:t>
      </w:r>
      <w:r w:rsidR="008F17F1" w:rsidRPr="00E3483D">
        <w:rPr>
          <w:sz w:val="18"/>
        </w:rPr>
        <w:t xml:space="preserve">, </w:t>
      </w:r>
      <w:r w:rsidRPr="005718CF">
        <w:rPr>
          <w:sz w:val="18"/>
          <w:lang w:val="en-US"/>
        </w:rPr>
        <w:t>3552</w:t>
      </w:r>
      <w:r w:rsidR="008F17F1" w:rsidRPr="00E3483D">
        <w:rPr>
          <w:sz w:val="18"/>
        </w:rPr>
        <w:t>.</w:t>
      </w:r>
    </w:p>
    <w:p w:rsidR="005718CF" w:rsidRDefault="005718CF" w:rsidP="003D13B7">
      <w:pPr>
        <w:pStyle w:val="ReferencesICCC2016"/>
        <w:jc w:val="both"/>
        <w:rPr>
          <w:sz w:val="18"/>
          <w:lang w:val="fr-FR"/>
        </w:rPr>
      </w:pPr>
      <w:r w:rsidRPr="006E227E">
        <w:rPr>
          <w:sz w:val="18"/>
          <w:lang w:val="fr-FR"/>
        </w:rPr>
        <w:t xml:space="preserve">2 </w:t>
      </w:r>
      <w:r w:rsidR="003D13B7">
        <w:rPr>
          <w:sz w:val="18"/>
          <w:lang w:val="fr-FR"/>
        </w:rPr>
        <w:t xml:space="preserve">a) </w:t>
      </w:r>
      <w:r w:rsidR="006E227E">
        <w:rPr>
          <w:sz w:val="18"/>
          <w:lang w:val="fr-FR"/>
        </w:rPr>
        <w:t>M.</w:t>
      </w:r>
      <w:r w:rsidR="006E227E" w:rsidRPr="006E227E">
        <w:rPr>
          <w:sz w:val="18"/>
          <w:lang w:val="fr-FR"/>
        </w:rPr>
        <w:t xml:space="preserve"> </w:t>
      </w:r>
      <w:proofErr w:type="spellStart"/>
      <w:r w:rsidR="006E227E" w:rsidRPr="006E227E">
        <w:rPr>
          <w:sz w:val="18"/>
          <w:lang w:val="fr-FR"/>
        </w:rPr>
        <w:t>Be</w:t>
      </w:r>
      <w:r w:rsidR="006E227E">
        <w:rPr>
          <w:sz w:val="18"/>
          <w:lang w:val="fr-FR"/>
        </w:rPr>
        <w:t>tou</w:t>
      </w:r>
      <w:proofErr w:type="spellEnd"/>
      <w:r w:rsidR="006E227E">
        <w:rPr>
          <w:sz w:val="18"/>
          <w:lang w:val="fr-FR"/>
        </w:rPr>
        <w:t>, N.</w:t>
      </w:r>
      <w:r w:rsidR="006E227E" w:rsidRPr="006E227E">
        <w:rPr>
          <w:sz w:val="18"/>
          <w:lang w:val="fr-FR"/>
        </w:rPr>
        <w:t xml:space="preserve"> </w:t>
      </w:r>
      <w:proofErr w:type="spellStart"/>
      <w:r w:rsidR="006E227E" w:rsidRPr="006E227E">
        <w:rPr>
          <w:sz w:val="18"/>
          <w:lang w:val="fr-FR"/>
        </w:rPr>
        <w:t>Kerisit</w:t>
      </w:r>
      <w:proofErr w:type="spellEnd"/>
      <w:r w:rsidR="006E227E" w:rsidRPr="006E227E">
        <w:rPr>
          <w:sz w:val="18"/>
          <w:lang w:val="fr-FR"/>
        </w:rPr>
        <w:t xml:space="preserve">, </w:t>
      </w:r>
      <w:r w:rsidR="006E227E">
        <w:rPr>
          <w:sz w:val="18"/>
          <w:lang w:val="fr-FR"/>
        </w:rPr>
        <w:t>E.</w:t>
      </w:r>
      <w:r w:rsidR="006E227E" w:rsidRPr="006E227E">
        <w:rPr>
          <w:sz w:val="18"/>
          <w:lang w:val="fr-FR"/>
        </w:rPr>
        <w:t xml:space="preserve"> </w:t>
      </w:r>
      <w:proofErr w:type="spellStart"/>
      <w:r w:rsidR="006E227E" w:rsidRPr="006E227E">
        <w:rPr>
          <w:sz w:val="18"/>
          <w:lang w:val="fr-FR"/>
        </w:rPr>
        <w:t>Meledje</w:t>
      </w:r>
      <w:proofErr w:type="spellEnd"/>
      <w:r w:rsidR="006E227E" w:rsidRPr="006E227E">
        <w:rPr>
          <w:sz w:val="18"/>
          <w:lang w:val="fr-FR"/>
        </w:rPr>
        <w:t xml:space="preserve">, Y. R. Leroux, C. </w:t>
      </w:r>
      <w:proofErr w:type="spellStart"/>
      <w:r w:rsidR="006E227E" w:rsidRPr="006E227E">
        <w:rPr>
          <w:sz w:val="18"/>
          <w:lang w:val="fr-FR"/>
        </w:rPr>
        <w:t>Katan</w:t>
      </w:r>
      <w:proofErr w:type="spellEnd"/>
      <w:r w:rsidR="006E227E" w:rsidRPr="006E227E">
        <w:rPr>
          <w:sz w:val="18"/>
          <w:lang w:val="fr-FR"/>
        </w:rPr>
        <w:t>, J.</w:t>
      </w:r>
      <w:r w:rsidR="006E227E" w:rsidRPr="006E227E">
        <w:rPr>
          <w:sz w:val="18"/>
          <w:lang w:val="fr-FR"/>
        </w:rPr>
        <w:t>-</w:t>
      </w:r>
      <w:r w:rsidR="006E227E" w:rsidRPr="006E227E">
        <w:rPr>
          <w:sz w:val="18"/>
          <w:lang w:val="fr-FR"/>
        </w:rPr>
        <w:t xml:space="preserve">F. </w:t>
      </w:r>
      <w:proofErr w:type="spellStart"/>
      <w:r w:rsidR="006E227E" w:rsidRPr="006E227E">
        <w:rPr>
          <w:sz w:val="18"/>
          <w:lang w:val="fr-FR"/>
        </w:rPr>
        <w:t>Halet</w:t>
      </w:r>
      <w:proofErr w:type="spellEnd"/>
      <w:r w:rsidR="006E227E" w:rsidRPr="006E227E">
        <w:rPr>
          <w:sz w:val="18"/>
          <w:lang w:val="fr-FR"/>
        </w:rPr>
        <w:t xml:space="preserve">, J.-C. Guillemin, Y. </w:t>
      </w:r>
      <w:proofErr w:type="spellStart"/>
      <w:r w:rsidR="006E227E" w:rsidRPr="006E227E">
        <w:rPr>
          <w:sz w:val="18"/>
          <w:lang w:val="fr-FR"/>
        </w:rPr>
        <w:t>Trolez</w:t>
      </w:r>
      <w:proofErr w:type="spellEnd"/>
      <w:r w:rsidR="006E227E" w:rsidRPr="006E227E">
        <w:rPr>
          <w:sz w:val="18"/>
          <w:lang w:val="fr-FR"/>
        </w:rPr>
        <w:t xml:space="preserve">, </w:t>
      </w:r>
      <w:proofErr w:type="spellStart"/>
      <w:r w:rsidRPr="006E227E">
        <w:rPr>
          <w:i/>
          <w:sz w:val="18"/>
          <w:lang w:val="fr-FR"/>
        </w:rPr>
        <w:t>Che</w:t>
      </w:r>
      <w:r w:rsidR="006E227E" w:rsidRPr="006E227E">
        <w:rPr>
          <w:i/>
          <w:sz w:val="18"/>
          <w:lang w:val="fr-FR"/>
        </w:rPr>
        <w:t>m</w:t>
      </w:r>
      <w:proofErr w:type="spellEnd"/>
      <w:r w:rsidR="006E227E" w:rsidRPr="006E227E">
        <w:rPr>
          <w:i/>
          <w:sz w:val="18"/>
          <w:lang w:val="fr-FR"/>
        </w:rPr>
        <w:t xml:space="preserve">. </w:t>
      </w:r>
      <w:proofErr w:type="spellStart"/>
      <w:r w:rsidR="006E227E" w:rsidRPr="006E227E">
        <w:rPr>
          <w:i/>
          <w:sz w:val="18"/>
          <w:lang w:val="fr-FR"/>
        </w:rPr>
        <w:t>Eur</w:t>
      </w:r>
      <w:proofErr w:type="spellEnd"/>
      <w:r w:rsidR="006E227E" w:rsidRPr="006E227E">
        <w:rPr>
          <w:i/>
          <w:sz w:val="18"/>
          <w:lang w:val="fr-FR"/>
        </w:rPr>
        <w:t>. J.</w:t>
      </w:r>
      <w:r w:rsidR="006E227E" w:rsidRPr="006E227E">
        <w:rPr>
          <w:sz w:val="18"/>
          <w:lang w:val="fr-FR"/>
        </w:rPr>
        <w:t xml:space="preserve">, </w:t>
      </w:r>
      <w:r w:rsidR="006E227E" w:rsidRPr="006E227E">
        <w:rPr>
          <w:b/>
          <w:sz w:val="18"/>
          <w:lang w:val="fr-FR"/>
        </w:rPr>
        <w:t>2014</w:t>
      </w:r>
      <w:r w:rsidR="006E227E" w:rsidRPr="006E227E">
        <w:rPr>
          <w:sz w:val="18"/>
          <w:lang w:val="fr-FR"/>
        </w:rPr>
        <w:t xml:space="preserve">, </w:t>
      </w:r>
      <w:r w:rsidR="006E227E" w:rsidRPr="006E227E">
        <w:rPr>
          <w:i/>
          <w:sz w:val="18"/>
          <w:lang w:val="fr-FR"/>
        </w:rPr>
        <w:t>20</w:t>
      </w:r>
      <w:r w:rsidR="006E227E" w:rsidRPr="006E227E">
        <w:rPr>
          <w:sz w:val="18"/>
          <w:lang w:val="fr-FR"/>
        </w:rPr>
        <w:t xml:space="preserve">, 9553; </w:t>
      </w:r>
      <w:r w:rsidR="003D13B7">
        <w:rPr>
          <w:sz w:val="18"/>
          <w:lang w:val="fr-FR"/>
        </w:rPr>
        <w:t xml:space="preserve">b) </w:t>
      </w:r>
      <w:r w:rsidRPr="006E227E">
        <w:rPr>
          <w:sz w:val="18"/>
          <w:lang w:val="fr-FR"/>
        </w:rPr>
        <w:t xml:space="preserve">M. </w:t>
      </w:r>
      <w:proofErr w:type="spellStart"/>
      <w:r w:rsidRPr="006E227E">
        <w:rPr>
          <w:sz w:val="18"/>
          <w:lang w:val="fr-FR"/>
        </w:rPr>
        <w:t>Betou</w:t>
      </w:r>
      <w:proofErr w:type="spellEnd"/>
      <w:r w:rsidRPr="006E227E">
        <w:rPr>
          <w:sz w:val="18"/>
          <w:lang w:val="fr-FR"/>
        </w:rPr>
        <w:t xml:space="preserve">, R. J. Durand, A. </w:t>
      </w:r>
      <w:proofErr w:type="spellStart"/>
      <w:r w:rsidRPr="006E227E">
        <w:rPr>
          <w:sz w:val="18"/>
          <w:lang w:val="fr-FR"/>
        </w:rPr>
        <w:t>Sallustrau</w:t>
      </w:r>
      <w:proofErr w:type="spellEnd"/>
      <w:r w:rsidRPr="006E227E">
        <w:rPr>
          <w:sz w:val="18"/>
          <w:lang w:val="fr-FR"/>
        </w:rPr>
        <w:t xml:space="preserve">, C. Gousset, E. Le </w:t>
      </w:r>
      <w:proofErr w:type="spellStart"/>
      <w:r w:rsidRPr="006E227E">
        <w:rPr>
          <w:sz w:val="18"/>
          <w:lang w:val="fr-FR"/>
        </w:rPr>
        <w:t>Coz</w:t>
      </w:r>
      <w:proofErr w:type="spellEnd"/>
      <w:r w:rsidRPr="006E227E">
        <w:rPr>
          <w:sz w:val="18"/>
          <w:lang w:val="fr-FR"/>
        </w:rPr>
        <w:t xml:space="preserve">, Y. R. Leroux, L. Toupet, E. </w:t>
      </w:r>
      <w:proofErr w:type="spellStart"/>
      <w:r w:rsidRPr="006E227E">
        <w:rPr>
          <w:sz w:val="18"/>
          <w:lang w:val="fr-FR"/>
        </w:rPr>
        <w:t>Trzop</w:t>
      </w:r>
      <w:proofErr w:type="spellEnd"/>
      <w:r w:rsidRPr="006E227E">
        <w:rPr>
          <w:sz w:val="18"/>
          <w:lang w:val="fr-FR"/>
        </w:rPr>
        <w:t xml:space="preserve">, T. </w:t>
      </w:r>
      <w:proofErr w:type="spellStart"/>
      <w:r w:rsidRPr="006E227E">
        <w:rPr>
          <w:sz w:val="18"/>
          <w:lang w:val="fr-FR"/>
        </w:rPr>
        <w:t>Roisnel</w:t>
      </w:r>
      <w:proofErr w:type="spellEnd"/>
      <w:r w:rsidRPr="006E227E">
        <w:rPr>
          <w:sz w:val="18"/>
          <w:lang w:val="fr-FR"/>
        </w:rPr>
        <w:t>, </w:t>
      </w:r>
      <w:r w:rsidRPr="006E227E">
        <w:rPr>
          <w:bCs/>
          <w:sz w:val="18"/>
          <w:lang w:val="fr-FR"/>
        </w:rPr>
        <w:t xml:space="preserve">Y. </w:t>
      </w:r>
      <w:proofErr w:type="spellStart"/>
      <w:r w:rsidRPr="006E227E">
        <w:rPr>
          <w:bCs/>
          <w:sz w:val="18"/>
          <w:lang w:val="fr-FR"/>
        </w:rPr>
        <w:t>Trolez</w:t>
      </w:r>
      <w:proofErr w:type="spellEnd"/>
      <w:r w:rsidRPr="006E227E">
        <w:rPr>
          <w:bCs/>
          <w:sz w:val="18"/>
          <w:lang w:val="fr-FR"/>
        </w:rPr>
        <w:t xml:space="preserve">, </w:t>
      </w:r>
      <w:proofErr w:type="spellStart"/>
      <w:r w:rsidRPr="006E227E">
        <w:rPr>
          <w:i/>
          <w:iCs/>
          <w:sz w:val="18"/>
          <w:lang w:val="fr-FR"/>
        </w:rPr>
        <w:t>Chem</w:t>
      </w:r>
      <w:proofErr w:type="spellEnd"/>
      <w:r w:rsidRPr="006E227E">
        <w:rPr>
          <w:i/>
          <w:iCs/>
          <w:sz w:val="18"/>
          <w:lang w:val="fr-FR"/>
        </w:rPr>
        <w:t xml:space="preserve">. </w:t>
      </w:r>
      <w:r>
        <w:rPr>
          <w:i/>
          <w:iCs/>
          <w:sz w:val="18"/>
          <w:lang w:val="fr-FR"/>
        </w:rPr>
        <w:t>An Asian J.</w:t>
      </w:r>
      <w:r w:rsidRPr="005718CF">
        <w:rPr>
          <w:sz w:val="18"/>
          <w:lang w:val="fr-FR"/>
        </w:rPr>
        <w:t xml:space="preserve">, </w:t>
      </w:r>
      <w:r w:rsidRPr="005718CF">
        <w:rPr>
          <w:b/>
          <w:sz w:val="18"/>
          <w:lang w:val="fr-FR"/>
        </w:rPr>
        <w:t>2017</w:t>
      </w:r>
      <w:r w:rsidRPr="005718CF">
        <w:rPr>
          <w:sz w:val="18"/>
          <w:lang w:val="fr-FR"/>
        </w:rPr>
        <w:t xml:space="preserve">, </w:t>
      </w:r>
      <w:r w:rsidRPr="005718CF">
        <w:rPr>
          <w:i/>
          <w:sz w:val="18"/>
          <w:lang w:val="fr-FR"/>
        </w:rPr>
        <w:t>12</w:t>
      </w:r>
      <w:r w:rsidRPr="005718CF">
        <w:rPr>
          <w:sz w:val="18"/>
          <w:lang w:val="fr-FR"/>
        </w:rPr>
        <w:t>, 1338</w:t>
      </w:r>
      <w:r>
        <w:rPr>
          <w:sz w:val="18"/>
          <w:lang w:val="fr-FR"/>
        </w:rPr>
        <w:t>.</w:t>
      </w:r>
    </w:p>
    <w:p w:rsidR="003D13B7" w:rsidRPr="003D13B7" w:rsidRDefault="003D13B7" w:rsidP="003D13B7">
      <w:pPr>
        <w:pStyle w:val="ReferencesICCC2016"/>
        <w:jc w:val="both"/>
        <w:rPr>
          <w:sz w:val="18"/>
          <w:lang w:val="en-US"/>
        </w:rPr>
      </w:pPr>
      <w:r w:rsidRPr="003D13B7">
        <w:rPr>
          <w:sz w:val="18"/>
          <w:lang w:val="en-US"/>
        </w:rPr>
        <w:t xml:space="preserve">3 F. Monti, A. </w:t>
      </w:r>
      <w:proofErr w:type="spellStart"/>
      <w:r w:rsidRPr="003D13B7">
        <w:rPr>
          <w:sz w:val="18"/>
          <w:lang w:val="en-US"/>
        </w:rPr>
        <w:t>Venturini</w:t>
      </w:r>
      <w:proofErr w:type="spellEnd"/>
      <w:r w:rsidRPr="003D13B7">
        <w:rPr>
          <w:sz w:val="18"/>
          <w:lang w:val="en-US"/>
        </w:rPr>
        <w:t xml:space="preserve">, A. </w:t>
      </w:r>
      <w:proofErr w:type="spellStart"/>
      <w:r w:rsidRPr="003D13B7">
        <w:rPr>
          <w:sz w:val="18"/>
          <w:lang w:val="en-US"/>
        </w:rPr>
        <w:t>Nenov</w:t>
      </w:r>
      <w:proofErr w:type="spellEnd"/>
      <w:r w:rsidRPr="003D13B7">
        <w:rPr>
          <w:sz w:val="18"/>
          <w:lang w:val="en-US"/>
        </w:rPr>
        <w:t xml:space="preserve">, F. </w:t>
      </w:r>
      <w:proofErr w:type="spellStart"/>
      <w:r w:rsidRPr="003D13B7">
        <w:rPr>
          <w:sz w:val="18"/>
          <w:lang w:val="en-US"/>
        </w:rPr>
        <w:t>Tancini</w:t>
      </w:r>
      <w:proofErr w:type="spellEnd"/>
      <w:r w:rsidRPr="003D13B7">
        <w:rPr>
          <w:sz w:val="18"/>
          <w:lang w:val="en-US"/>
        </w:rPr>
        <w:t xml:space="preserve">, A. D. Finke, F. </w:t>
      </w:r>
      <w:proofErr w:type="spellStart"/>
      <w:r w:rsidRPr="003D13B7">
        <w:rPr>
          <w:sz w:val="18"/>
          <w:lang w:val="en-US"/>
        </w:rPr>
        <w:t>Diederich</w:t>
      </w:r>
      <w:proofErr w:type="spellEnd"/>
      <w:r w:rsidRPr="003D13B7">
        <w:rPr>
          <w:sz w:val="18"/>
          <w:lang w:val="en-US"/>
        </w:rPr>
        <w:t xml:space="preserve">, N. </w:t>
      </w:r>
      <w:proofErr w:type="spellStart"/>
      <w:r>
        <w:rPr>
          <w:sz w:val="18"/>
          <w:lang w:val="en-US"/>
        </w:rPr>
        <w:t>Armaroli</w:t>
      </w:r>
      <w:proofErr w:type="spellEnd"/>
      <w:r>
        <w:rPr>
          <w:sz w:val="18"/>
          <w:lang w:val="en-US"/>
        </w:rPr>
        <w:t xml:space="preserve">, </w:t>
      </w:r>
      <w:r w:rsidRPr="003D13B7">
        <w:rPr>
          <w:i/>
          <w:sz w:val="18"/>
          <w:lang w:val="en-US"/>
        </w:rPr>
        <w:t>J. Phys. Chem. A</w:t>
      </w:r>
      <w:r>
        <w:rPr>
          <w:sz w:val="18"/>
          <w:lang w:val="en-US"/>
        </w:rPr>
        <w:t xml:space="preserve">, </w:t>
      </w:r>
      <w:r w:rsidRPr="003D13B7">
        <w:rPr>
          <w:b/>
          <w:sz w:val="18"/>
          <w:lang w:val="en-US"/>
        </w:rPr>
        <w:t>2015</w:t>
      </w:r>
      <w:r>
        <w:rPr>
          <w:sz w:val="18"/>
          <w:lang w:val="en-US"/>
        </w:rPr>
        <w:t xml:space="preserve">, </w:t>
      </w:r>
      <w:r w:rsidRPr="003D13B7">
        <w:rPr>
          <w:i/>
          <w:sz w:val="18"/>
          <w:lang w:val="en-US"/>
        </w:rPr>
        <w:t>119</w:t>
      </w:r>
      <w:r>
        <w:rPr>
          <w:sz w:val="18"/>
          <w:lang w:val="en-US"/>
        </w:rPr>
        <w:t>, 10677.</w:t>
      </w:r>
    </w:p>
    <w:sectPr w:rsidR="003D13B7" w:rsidRPr="003D13B7" w:rsidSect="00553840">
      <w:headerReference w:type="default" r:id="rId8"/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584" w:rsidRDefault="003E1584">
      <w:r>
        <w:separator/>
      </w:r>
    </w:p>
  </w:endnote>
  <w:endnote w:type="continuationSeparator" w:id="0">
    <w:p w:rsidR="003E1584" w:rsidRDefault="003E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584" w:rsidRDefault="003E1584">
      <w:r>
        <w:separator/>
      </w:r>
    </w:p>
  </w:footnote>
  <w:footnote w:type="continuationSeparator" w:id="0">
    <w:p w:rsidR="003E1584" w:rsidRDefault="003E1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0D4" w:rsidRPr="00032DB0" w:rsidRDefault="00A9060B" w:rsidP="000C54FD">
    <w:pPr>
      <w:pStyle w:val="ReferencesICCC2016"/>
      <w:pBdr>
        <w:bottom w:val="single" w:sz="6" w:space="1" w:color="auto"/>
      </w:pBdr>
      <w:jc w:val="center"/>
      <w:rPr>
        <w:b/>
        <w:i/>
        <w:sz w:val="22"/>
        <w:szCs w:val="22"/>
      </w:rPr>
    </w:pPr>
    <w:r>
      <w:rPr>
        <w:b/>
        <w:i/>
        <w:sz w:val="22"/>
        <w:szCs w:val="22"/>
      </w:rPr>
      <w:t xml:space="preserve">GECOM-CONCOORD 2019 – </w:t>
    </w:r>
    <w:proofErr w:type="spellStart"/>
    <w:r>
      <w:rPr>
        <w:b/>
        <w:i/>
        <w:sz w:val="22"/>
        <w:szCs w:val="22"/>
      </w:rPr>
      <w:t>Erquy</w:t>
    </w:r>
    <w:proofErr w:type="spellEnd"/>
    <w:r>
      <w:rPr>
        <w:b/>
        <w:i/>
        <w:sz w:val="22"/>
        <w:szCs w:val="22"/>
      </w:rPr>
      <w:t xml:space="preserve">, 19-24 </w:t>
    </w:r>
    <w:proofErr w:type="spellStart"/>
    <w:r>
      <w:rPr>
        <w:b/>
        <w:i/>
        <w:sz w:val="22"/>
        <w:szCs w:val="22"/>
      </w:rPr>
      <w:t>mai</w:t>
    </w:r>
    <w:proofErr w:type="spellEnd"/>
  </w:p>
  <w:p w:rsidR="009410D4" w:rsidRPr="00E3483D" w:rsidRDefault="009410D4">
    <w:pPr>
      <w:pStyle w:val="En-tt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00"/>
    <w:rsid w:val="00032DB0"/>
    <w:rsid w:val="000C54FD"/>
    <w:rsid w:val="0013760A"/>
    <w:rsid w:val="001956C2"/>
    <w:rsid w:val="0029648A"/>
    <w:rsid w:val="002D096F"/>
    <w:rsid w:val="002D68B4"/>
    <w:rsid w:val="003D13B7"/>
    <w:rsid w:val="003E1584"/>
    <w:rsid w:val="00410B0A"/>
    <w:rsid w:val="00420487"/>
    <w:rsid w:val="004440C3"/>
    <w:rsid w:val="004518E1"/>
    <w:rsid w:val="004904D4"/>
    <w:rsid w:val="00553840"/>
    <w:rsid w:val="005718CF"/>
    <w:rsid w:val="005E55BA"/>
    <w:rsid w:val="00627845"/>
    <w:rsid w:val="006E227E"/>
    <w:rsid w:val="007738B4"/>
    <w:rsid w:val="007871FA"/>
    <w:rsid w:val="007A12F9"/>
    <w:rsid w:val="007A2138"/>
    <w:rsid w:val="00824710"/>
    <w:rsid w:val="00836D72"/>
    <w:rsid w:val="00875B37"/>
    <w:rsid w:val="008D16AE"/>
    <w:rsid w:val="008F17F1"/>
    <w:rsid w:val="00916031"/>
    <w:rsid w:val="00923D1F"/>
    <w:rsid w:val="009410D4"/>
    <w:rsid w:val="009926CC"/>
    <w:rsid w:val="009A40E8"/>
    <w:rsid w:val="009D036C"/>
    <w:rsid w:val="009D4477"/>
    <w:rsid w:val="00A060AE"/>
    <w:rsid w:val="00A7175D"/>
    <w:rsid w:val="00A8709F"/>
    <w:rsid w:val="00A9060B"/>
    <w:rsid w:val="00AD45DD"/>
    <w:rsid w:val="00AF3A76"/>
    <w:rsid w:val="00AF7C76"/>
    <w:rsid w:val="00B24988"/>
    <w:rsid w:val="00B65ACC"/>
    <w:rsid w:val="00B97E83"/>
    <w:rsid w:val="00BA59DC"/>
    <w:rsid w:val="00BC42A4"/>
    <w:rsid w:val="00BE4D3B"/>
    <w:rsid w:val="00BF31A5"/>
    <w:rsid w:val="00C12828"/>
    <w:rsid w:val="00C84731"/>
    <w:rsid w:val="00D4078D"/>
    <w:rsid w:val="00D92341"/>
    <w:rsid w:val="00DC111B"/>
    <w:rsid w:val="00E2562A"/>
    <w:rsid w:val="00E3483D"/>
    <w:rsid w:val="00E3607A"/>
    <w:rsid w:val="00FB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239B6E4-8E12-4028-95E2-C80701EA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leICCC2016">
    <w:name w:val="Title_ICCC2016"/>
    <w:rsid w:val="00BA59DC"/>
    <w:pPr>
      <w:jc w:val="center"/>
    </w:pPr>
    <w:rPr>
      <w:rFonts w:ascii="Arial" w:hAnsi="Arial" w:cs="Arial"/>
      <w:b/>
      <w:sz w:val="32"/>
      <w:szCs w:val="32"/>
      <w:lang w:val="fr-FR" w:eastAsia="fr-FR"/>
    </w:rPr>
  </w:style>
  <w:style w:type="paragraph" w:customStyle="1" w:styleId="AbstractICCC2016">
    <w:name w:val="Abstract_ICCC2016"/>
    <w:basedOn w:val="Normal"/>
    <w:rsid w:val="002D096F"/>
    <w:pPr>
      <w:spacing w:before="40" w:line="360" w:lineRule="auto"/>
    </w:pPr>
    <w:rPr>
      <w:rFonts w:ascii="Arial" w:hAnsi="Arial" w:cs="Courier New"/>
      <w:szCs w:val="20"/>
      <w:lang w:val="en-US"/>
    </w:rPr>
  </w:style>
  <w:style w:type="paragraph" w:customStyle="1" w:styleId="AuthorICCC2016">
    <w:name w:val="Author_ICCC2016"/>
    <w:rsid w:val="002D096F"/>
    <w:pPr>
      <w:jc w:val="center"/>
    </w:pPr>
    <w:rPr>
      <w:rFonts w:ascii="Arial" w:hAnsi="Arial" w:cs="Arial"/>
      <w:sz w:val="24"/>
      <w:szCs w:val="24"/>
      <w:lang w:eastAsia="fr-FR"/>
    </w:rPr>
  </w:style>
  <w:style w:type="paragraph" w:customStyle="1" w:styleId="StyleArial16ptGrasCentr">
    <w:name w:val="Style Arial 16 pt Gras Centré"/>
    <w:basedOn w:val="Normal"/>
    <w:rsid w:val="002D096F"/>
    <w:pPr>
      <w:spacing w:after="360"/>
      <w:jc w:val="center"/>
    </w:pPr>
    <w:rPr>
      <w:rFonts w:ascii="Arial" w:hAnsi="Arial"/>
      <w:b/>
      <w:bCs/>
      <w:sz w:val="32"/>
      <w:szCs w:val="20"/>
      <w:lang w:val="en-US"/>
    </w:rPr>
  </w:style>
  <w:style w:type="paragraph" w:styleId="En-tte">
    <w:name w:val="header"/>
    <w:basedOn w:val="Normal"/>
    <w:rsid w:val="00BA59D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A59DC"/>
    <w:pPr>
      <w:tabs>
        <w:tab w:val="center" w:pos="4536"/>
        <w:tab w:val="right" w:pos="9072"/>
      </w:tabs>
    </w:pPr>
  </w:style>
  <w:style w:type="character" w:customStyle="1" w:styleId="PresentingAuthorICCC2016">
    <w:name w:val="Presenting_Author_ICCC2016"/>
    <w:rsid w:val="00BA59DC"/>
    <w:rPr>
      <w:rFonts w:ascii="Arial" w:hAnsi="Arial" w:cs="Arial"/>
      <w:sz w:val="24"/>
      <w:szCs w:val="24"/>
      <w:u w:val="single"/>
      <w:lang w:val="en-GB"/>
    </w:rPr>
  </w:style>
  <w:style w:type="paragraph" w:customStyle="1" w:styleId="AddressICCC2016">
    <w:name w:val="Address_ICCC2016"/>
    <w:rsid w:val="002D096F"/>
    <w:pPr>
      <w:spacing w:before="40"/>
      <w:jc w:val="center"/>
    </w:pPr>
    <w:rPr>
      <w:rFonts w:ascii="Arial" w:hAnsi="Arial" w:cs="Courier New"/>
      <w:sz w:val="24"/>
      <w:lang w:eastAsia="fr-FR"/>
    </w:rPr>
  </w:style>
  <w:style w:type="paragraph" w:customStyle="1" w:styleId="CorrespondingAuthorICCC2016">
    <w:name w:val="Corresponding_Author_ICCC2016"/>
    <w:basedOn w:val="Normal"/>
    <w:rsid w:val="002D096F"/>
    <w:pPr>
      <w:spacing w:before="40" w:after="360"/>
      <w:jc w:val="center"/>
    </w:pPr>
    <w:rPr>
      <w:rFonts w:ascii="Arial" w:hAnsi="Arial" w:cs="Courier New"/>
      <w:szCs w:val="20"/>
      <w:lang w:val="en-US"/>
    </w:rPr>
  </w:style>
  <w:style w:type="paragraph" w:customStyle="1" w:styleId="ReferencesICCC2016">
    <w:name w:val="References_ICCC2016"/>
    <w:rsid w:val="00AF3A76"/>
    <w:rPr>
      <w:rFonts w:ascii="Arial" w:hAnsi="Arial" w:cs="Courier New"/>
      <w:lang w:val="en-GB" w:eastAsia="fr-FR"/>
    </w:rPr>
  </w:style>
  <w:style w:type="paragraph" w:customStyle="1" w:styleId="FigureICCC2016">
    <w:name w:val="Figure_ICCC2016"/>
    <w:rsid w:val="00AF3A76"/>
    <w:pPr>
      <w:spacing w:after="240"/>
    </w:pPr>
    <w:rPr>
      <w:rFonts w:ascii="Arial" w:hAnsi="Arial" w:cs="Courier New"/>
      <w:b/>
      <w:sz w:val="24"/>
      <w:lang w:val="en-GB" w:eastAsia="fr-FR"/>
    </w:rPr>
  </w:style>
  <w:style w:type="character" w:customStyle="1" w:styleId="FigureCaption-ICCC2016">
    <w:name w:val="Figure_Caption-ICCC2016"/>
    <w:basedOn w:val="Policepardfaut"/>
    <w:rsid w:val="00032DB0"/>
  </w:style>
  <w:style w:type="character" w:customStyle="1" w:styleId="ReferenceYearICCC2016">
    <w:name w:val="Reference_Year_ICCC2016"/>
    <w:rsid w:val="007871FA"/>
    <w:rPr>
      <w:rFonts w:ascii="Arial" w:hAnsi="Arial"/>
      <w:b/>
      <w:sz w:val="20"/>
    </w:rPr>
  </w:style>
  <w:style w:type="character" w:customStyle="1" w:styleId="Reference-Journal-volumelICCC2016">
    <w:name w:val="Reference-Journal-volumel_ICCC2016"/>
    <w:rsid w:val="00032DB0"/>
    <w:rPr>
      <w:rFonts w:ascii="Arial" w:hAnsi="Arial"/>
      <w:i/>
      <w:sz w:val="20"/>
    </w:rPr>
  </w:style>
  <w:style w:type="paragraph" w:styleId="Textedebulles">
    <w:name w:val="Balloon Text"/>
    <w:basedOn w:val="Normal"/>
    <w:link w:val="TextedebullesCar"/>
    <w:rsid w:val="00410B0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410B0A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Title… (bold, centered, single space, arial 16)</vt:lpstr>
    </vt:vector>
  </TitlesOfParts>
  <Company>Université de Rennes 1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Title… (bold, centered, single space, arial 16)</dc:title>
  <dc:subject/>
  <dc:creator>Stéphane Golhen</dc:creator>
  <cp:keywords/>
  <dc:description/>
  <cp:lastModifiedBy>Anh Thy</cp:lastModifiedBy>
  <cp:revision>8</cp:revision>
  <dcterms:created xsi:type="dcterms:W3CDTF">2019-04-12T20:06:00Z</dcterms:created>
  <dcterms:modified xsi:type="dcterms:W3CDTF">2019-04-13T18:29:00Z</dcterms:modified>
</cp:coreProperties>
</file>